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1" w:rsidRPr="00360801" w:rsidRDefault="00E539A1" w:rsidP="00360801">
      <w:pPr>
        <w:jc w:val="center"/>
        <w:rPr>
          <w:sz w:val="22"/>
          <w:szCs w:val="22"/>
        </w:rPr>
      </w:pPr>
      <w:bookmarkStart w:id="0" w:name="_GoBack"/>
      <w:bookmarkEnd w:id="0"/>
      <w:r w:rsidRPr="00360801">
        <w:rPr>
          <w:sz w:val="22"/>
          <w:szCs w:val="22"/>
        </w:rPr>
        <w:t>Общество с ограниченной ответственностью «Альфа»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60801">
        <w:t>ПРИКАЗ № 58</w:t>
      </w:r>
      <w:r w:rsidRPr="00360801">
        <w:br/>
        <w:t>об утверждении учетной политики для целей налогообложения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 </w:t>
      </w:r>
    </w:p>
    <w:tbl>
      <w:tblPr>
        <w:tblW w:w="8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4368"/>
      </w:tblGrid>
      <w:tr w:rsidR="008A05C1" w:rsidRPr="0036080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5C1" w:rsidRPr="00360801" w:rsidRDefault="00E539A1" w:rsidP="00360801">
            <w:pPr>
              <w:rPr>
                <w:sz w:val="22"/>
                <w:szCs w:val="22"/>
              </w:rPr>
            </w:pPr>
            <w:r w:rsidRPr="00360801">
              <w:rPr>
                <w:sz w:val="22"/>
                <w:szCs w:val="22"/>
              </w:rPr>
              <w:t>г. Москва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5C1" w:rsidRPr="00360801" w:rsidRDefault="00A94663" w:rsidP="00A946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28.12.2020</w:t>
            </w:r>
          </w:p>
        </w:tc>
      </w:tr>
    </w:tbl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ПРИКАЗЫВАЮ: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1. Утвердить учетную политику для целей налогообложения на 20</w:t>
      </w:r>
      <w:r w:rsidR="00A82E80">
        <w:t>2</w:t>
      </w:r>
      <w:r w:rsidR="00A94663">
        <w:t>1</w:t>
      </w:r>
      <w:r w:rsidR="002E18C5" w:rsidRPr="00360801">
        <w:t xml:space="preserve"> </w:t>
      </w:r>
      <w:r w:rsidRPr="00360801">
        <w:t>год согласно приложению.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2. Контроль за исполнением настоящего приказа возложить на главного бухгалтера А.С. Глебову.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1344"/>
        <w:gridCol w:w="2625"/>
      </w:tblGrid>
      <w:tr w:rsidR="008A05C1" w:rsidRPr="00360801" w:rsidTr="009A52DF">
        <w:tc>
          <w:tcPr>
            <w:tcW w:w="45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5C1" w:rsidRPr="00360801" w:rsidRDefault="00E539A1" w:rsidP="00360801">
            <w:pPr>
              <w:rPr>
                <w:sz w:val="22"/>
                <w:szCs w:val="22"/>
              </w:rPr>
            </w:pPr>
            <w:r w:rsidRPr="0036080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5C1" w:rsidRPr="00360801" w:rsidRDefault="00E539A1" w:rsidP="00F56295">
            <w:pPr>
              <w:rPr>
                <w:sz w:val="22"/>
                <w:szCs w:val="22"/>
              </w:rPr>
            </w:pPr>
            <w:r w:rsidRPr="0036080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5C1" w:rsidRPr="00360801" w:rsidRDefault="00E539A1" w:rsidP="00360801">
            <w:pPr>
              <w:jc w:val="right"/>
              <w:rPr>
                <w:sz w:val="22"/>
                <w:szCs w:val="22"/>
              </w:rPr>
            </w:pPr>
            <w:r w:rsidRPr="00360801">
              <w:rPr>
                <w:sz w:val="22"/>
                <w:szCs w:val="22"/>
              </w:rPr>
              <w:t>А.В. Львов</w:t>
            </w:r>
          </w:p>
        </w:tc>
      </w:tr>
    </w:tbl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tbl>
      <w:tblPr>
        <w:tblW w:w="200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</w:tblGrid>
      <w:tr w:rsidR="008A05C1" w:rsidRPr="00360801" w:rsidTr="00F56295">
        <w:trPr>
          <w:jc w:val="right"/>
        </w:trPr>
        <w:tc>
          <w:tcPr>
            <w:tcW w:w="20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5C1" w:rsidRPr="00360801" w:rsidRDefault="00E539A1" w:rsidP="00A94663">
            <w:pPr>
              <w:rPr>
                <w:sz w:val="22"/>
                <w:szCs w:val="22"/>
              </w:rPr>
            </w:pPr>
            <w:r w:rsidRPr="00360801">
              <w:rPr>
                <w:sz w:val="22"/>
                <w:szCs w:val="22"/>
              </w:rPr>
              <w:t>Приложение 1</w:t>
            </w:r>
            <w:r w:rsidRPr="00360801">
              <w:rPr>
                <w:sz w:val="22"/>
                <w:szCs w:val="22"/>
              </w:rPr>
              <w:br/>
              <w:t>к приказу от</w:t>
            </w:r>
            <w:r w:rsidRPr="00360801">
              <w:rPr>
                <w:sz w:val="22"/>
                <w:szCs w:val="22"/>
              </w:rPr>
              <w:br/>
              <w:t>28.12.20</w:t>
            </w:r>
            <w:r w:rsidR="00A94663">
              <w:rPr>
                <w:sz w:val="22"/>
                <w:szCs w:val="22"/>
              </w:rPr>
              <w:t>20</w:t>
            </w:r>
            <w:r w:rsidRPr="00360801">
              <w:rPr>
                <w:sz w:val="22"/>
                <w:szCs w:val="22"/>
              </w:rPr>
              <w:t xml:space="preserve"> № 58</w:t>
            </w:r>
          </w:p>
        </w:tc>
      </w:tr>
    </w:tbl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60801">
        <w:rPr>
          <w:b/>
          <w:bCs/>
        </w:rPr>
        <w:t>Учетная политика для целей налогообложения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60801">
        <w:rPr>
          <w:b/>
          <w:bCs/>
        </w:rPr>
        <w:t>Налог на прибыль организаций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rPr>
          <w:b/>
          <w:bCs/>
        </w:rPr>
        <w:t>Порядок ведения налогового учета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1. Налоговый учет вести силами бухгалтерии.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2. Налоговый учет вести обособленно от бухгалтерского в самостоятельно разработанных регистрах налогового учета. Перечень регистров налогового учета приведен в приложении. </w:t>
      </w:r>
      <w:r w:rsidRPr="00360801">
        <w:br/>
        <w:t xml:space="preserve">1. Основание: статья 313 </w:t>
      </w:r>
      <w:r w:rsidR="009F2D7D" w:rsidRPr="00360801">
        <w:t>НК</w:t>
      </w:r>
      <w:r w:rsidRPr="00360801">
        <w:t xml:space="preserve">.  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3. Учет доходов и расходов вести методом начисления. </w:t>
      </w:r>
      <w:r w:rsidRPr="00360801">
        <w:br/>
        <w:t xml:space="preserve">Основание: статьи 271, 272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rPr>
          <w:b/>
          <w:bCs/>
        </w:rPr>
        <w:t xml:space="preserve">Учет амортизируемого имущества 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4. Срок полезного использования основных средств определяется по минимальному значению интервала сроков, установленных для амортизационной группы, в которую включено основное средство в соответствии с классификацией, утверждаемой Правительством РФ. В случае реконструкции, модернизации или технического перевооружения срок полезного использования основного средства увеличивается до предельного значения, установленного для амортизационной группы, в которую было включено модернизируемое основное средство. 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Если основное средство не указано в классификации, срок полезного использования определяется по технической документации или рекомендациям производителей.</w:t>
      </w:r>
      <w:r w:rsidRPr="00360801">
        <w:br/>
        <w:t xml:space="preserve">Основание: постановление Правительства </w:t>
      </w:r>
      <w:r w:rsidR="009F2D7D" w:rsidRPr="00360801">
        <w:t>от 01.01.</w:t>
      </w:r>
      <w:r w:rsidRPr="00360801">
        <w:t>2002</w:t>
      </w:r>
      <w:r w:rsidR="009F2D7D" w:rsidRPr="00360801">
        <w:t xml:space="preserve"> №</w:t>
      </w:r>
      <w:r w:rsidRPr="00360801">
        <w:t xml:space="preserve"> 1, пункты 1 и 6 статьи 258 </w:t>
      </w:r>
      <w:r w:rsidRPr="00360801">
        <w:br/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5. Срок полезного использования основных средств, бывших в эксплуатации, определяется равным сроку, установленному предыдущим собственником, уменьшенному на количество лет (месяцев) эксплуатации данных основных средств предыдущим собственником. Норма амортизации по бывшим в эксплуатации основным средствам определяется с учетом срока полезного использования, уменьшенного на количество лет (месяцев) эксплуатации предыдущими </w:t>
      </w:r>
      <w:r w:rsidRPr="00360801">
        <w:lastRenderedPageBreak/>
        <w:t>собственниками.</w:t>
      </w:r>
      <w:r w:rsidRPr="00360801">
        <w:br/>
        <w:t xml:space="preserve">Основание: пункт 7 статьи 258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6. Срок полезного использования объекта нематериальных активов определяется исходя из срока действия патента, свидетельства, а также исходя из срока полезного использования, обусловленного соответствующим договором. По нематериальным активам, по которым определить срок полезного использования невозможно, применяется срок, равный 10 годам.</w:t>
      </w:r>
      <w:r w:rsidRPr="00360801">
        <w:br/>
        <w:t xml:space="preserve">Основание: пункт 2 статьи 258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7. Амортизацию по всем объектам амортизируемого имущества (основным средствам и нематериальным активам) начислять линейным методом.</w:t>
      </w:r>
      <w:r w:rsidRPr="00360801">
        <w:br/>
        <w:t xml:space="preserve">Основание: пункты 1 и 3 статьи 259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8. Амортизационная премия не применяется. Амортизация начисляется в общем порядке.</w:t>
      </w:r>
      <w:r w:rsidRPr="00360801">
        <w:br/>
        <w:t xml:space="preserve">Основание: пункт 9 статьи 258 </w:t>
      </w:r>
      <w:r w:rsidR="009F2D7D" w:rsidRPr="00360801">
        <w:t>НК</w:t>
      </w:r>
      <w:r w:rsidRPr="00360801">
        <w:t xml:space="preserve">. 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9. Норма амортизации определяется с учетом специального коэффициента:</w:t>
      </w:r>
      <w:r w:rsidRPr="00360801">
        <w:br/>
        <w:t>– в размере 3 – к основным средствам, являющимся предметом договора лизинга (за исключением основных средств, относящихся к первой–третьей амортизационным группам);</w:t>
      </w:r>
      <w:r w:rsidRPr="00360801">
        <w:br/>
        <w:t>– в размере 2 – к основным средствам, произведенным в соответствии с условиями специального инвестиционного контракта.</w:t>
      </w:r>
      <w:r w:rsidRPr="00360801">
        <w:br/>
        <w:t xml:space="preserve">Основание: подпункты 1, 6 </w:t>
      </w:r>
      <w:r w:rsidR="009A52DF" w:rsidRPr="00360801">
        <w:t xml:space="preserve">пункта 1 </w:t>
      </w:r>
      <w:r w:rsidRPr="00360801">
        <w:t xml:space="preserve">статьи 259.3, пункт 3 статьи 259.3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10. Резерв на ремонт основных средств не создается. Расходы на ремонт основных средств признаются для целей налогообложения в составе прочих расходов в том отчетном периоде, в котором они были осуществлены, в сумме фактических затрат.</w:t>
      </w:r>
      <w:r w:rsidRPr="00360801">
        <w:br/>
        <w:t xml:space="preserve">Основание: статья 260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11. Налоговый учет операций с амортизируемым имуществом осуществляется с применением налогового регистра, форма которого установлена в приложении 2.</w:t>
      </w:r>
      <w:r w:rsidRPr="00360801">
        <w:br/>
        <w:t xml:space="preserve">Основание: статья 313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rPr>
          <w:b/>
          <w:bCs/>
        </w:rPr>
        <w:t xml:space="preserve">Учет товарно-материальных ценностей 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12. В стоимость материалов, используемых в хозяйственной деятельности, включается цена их приобретения (без учета НДС и акцизов), комиссионные вознаграждения, уплачиваемые посредническим организациям, ввозные таможенные пошлины и сборы, расходы на транспортировку, суммы, уплачиваемые организациям за информационные и консультационные услуги, связанные с приобретением материалов.</w:t>
      </w:r>
      <w:r w:rsidRPr="00360801">
        <w:br/>
        <w:t xml:space="preserve">Основание: пункт 4 статьи 252, пункт 2 статьи 254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13. Стоимость имущества, не являющегося амортизируемым имуществом, включается в состав материальных расходов в полной сумме по мере ввода его в эксплуатацию.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Основание: подпункт 3 пункта 1 статьи 254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14. При выбытии материалы оцениваются по методу средней стоимости.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Основание: пункт 8 статьи 254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15. Налоговый учет операций по приобретению и списанию материалов осуществляется в порядке, определенном для целей бухгалтерского учета, на соответствующих субсчетах к счету 10 «Материалы». </w:t>
      </w:r>
      <w:r w:rsidRPr="00360801">
        <w:br/>
        <w:t xml:space="preserve">Основание: статья 313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16. Стоимость приобретения товаров определяется по цене, установленной условиями договора.</w:t>
      </w:r>
      <w:r w:rsidRPr="00360801">
        <w:br/>
        <w:t xml:space="preserve">Основание: статья 320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lastRenderedPageBreak/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17. При реализации покупных товаров используется метод оценки по стоимости единицы товара.</w:t>
      </w:r>
      <w:r w:rsidRPr="00360801">
        <w:br/>
        <w:t xml:space="preserve">Основание: пункт 1 статьи 268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18. Налоговый учет операций с товарами осуществляется в отдельном регистре налогового учета. </w:t>
      </w:r>
      <w:r w:rsidRPr="00360801">
        <w:br/>
        <w:t>Форма регистра установлена в приложении 3 к настоящей Учетной политике.</w:t>
      </w:r>
      <w:r w:rsidRPr="00360801">
        <w:br/>
        <w:t xml:space="preserve">Основание: статья 313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rPr>
          <w:b/>
          <w:bCs/>
        </w:rPr>
        <w:t>Учет затрат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rPr>
          <w:b/>
          <w:bCs/>
        </w:rPr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19. К прямым расходам относятся:</w:t>
      </w:r>
      <w:r w:rsidRPr="00360801">
        <w:br/>
        <w:t>– стоимость приобретения товаров;</w:t>
      </w:r>
      <w:r w:rsidRPr="00360801">
        <w:br/>
        <w:t>– суммы расходов на доставку товаров при их приобретении (транспортные расходы) до склада.</w:t>
      </w:r>
      <w:r w:rsidRPr="00360801">
        <w:br/>
        <w:t xml:space="preserve">Основание: статья 320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 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20. Транспортные расходы, относящиеся к прямым, распределяются в конце месяца по среднему проценту на остаток нереализованных товаров.</w:t>
      </w:r>
      <w:r w:rsidRPr="00360801">
        <w:br/>
        <w:t xml:space="preserve">Основание: статья 320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21. Учет прямых расходов осуществляется в регистрах налогового учета.</w:t>
      </w:r>
      <w:r w:rsidRPr="00360801">
        <w:br/>
        <w:t xml:space="preserve">Основание: статья 313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22. Отчисления в резерв по сомнительным долгам производятся ежеквартально. Инвентаризация дебиторской задолженности в целях создания резерва проводится по состоянию на последний день отчетного квартала. Максимальный размер резерва по сомнительным долгам составляет 10% от выручки без учета НДС. Учет операций по начислению и использованию резерва осуществляется в регистре налогового учета, форма которого установлена в приложении 4.</w:t>
      </w:r>
      <w:r w:rsidRPr="00360801">
        <w:br/>
        <w:t xml:space="preserve">Основание: статья 266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23. Резерв по гарантийному ремонту и гарантийному обслуживанию создается в размере, определяемом как произведение выручки от реализации за отчетный период и доли фактических расходов по гарантийному ремонту и обслуживанию в объеме выручки от реализации товаров за</w:t>
      </w:r>
      <w:r w:rsidR="009A52DF" w:rsidRPr="00360801">
        <w:t xml:space="preserve"> </w:t>
      </w:r>
      <w:r w:rsidRPr="00360801">
        <w:t>предыдущие три года.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Учет расходов на резерв по гарантийному ремонту и гарантийному обслуживанию ведется в регистре налогового учета, форма которого установлена в приложении 5.</w:t>
      </w:r>
      <w:r w:rsidRPr="00360801">
        <w:br/>
        <w:t xml:space="preserve">Основание: пункт 3 статьи 267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24. Налоговый учет расходов на оплату труда вести в регистрах налогового учета, форма которых</w:t>
      </w:r>
      <w:r w:rsidR="009A52DF" w:rsidRPr="00360801">
        <w:t xml:space="preserve"> </w:t>
      </w:r>
      <w:r w:rsidRPr="00360801">
        <w:t>установлена в приложении 6.</w:t>
      </w:r>
      <w:r w:rsidRPr="00360801">
        <w:br/>
        <w:t xml:space="preserve">Основание: статья 313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25. Резерв предстоящих расходов на оплату отпусков не создается.</w:t>
      </w:r>
      <w:r w:rsidRPr="00360801">
        <w:br/>
        <w:t xml:space="preserve">Основание: статья 324.1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26. Резерв предстоящих расходов на выплату ежегодных вознаграждений за выслугу лет и по итогам работы за год не создается.</w:t>
      </w:r>
      <w:r w:rsidRPr="00360801">
        <w:br/>
        <w:t xml:space="preserve">Основание: статья 324.1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27. Доходы и расходы, относящиеся к нескольким отчетным периодам, распределяются равномерно в течение срока действия договора, к которому они относятся. В случае если дату окончания работ (оказания услуг) по договору определить невозможно, период распределения доходов и расходов устанавливается приказом руководителя организации.</w:t>
      </w:r>
      <w:r w:rsidRPr="00360801">
        <w:br/>
        <w:t xml:space="preserve">Основание: пункт 1 статьи 272, пункт 2 статьи 271, статья 316 </w:t>
      </w:r>
      <w:r w:rsidR="009F2D7D" w:rsidRPr="00360801">
        <w:t>НК</w:t>
      </w:r>
      <w:r w:rsidRPr="00360801">
        <w:t xml:space="preserve">. 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rPr>
          <w:b/>
          <w:bCs/>
        </w:rPr>
        <w:t>Порядок расчета авансовых платежей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lastRenderedPageBreak/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28. Уплату ежемесячных авансовых платежей по налогу на прибыль производить исходя из одной трети фактически уплаченного квартального авансового платежа за квартал, предшествующий кварталу, в котором производится уплата ежемесячных авансовых платежей.</w:t>
      </w:r>
      <w:r w:rsidRPr="00360801">
        <w:br/>
        <w:t xml:space="preserve">Основание: пункт 2 статьи 286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29. Для определения сумм авансовых платежей и налога, подлежащих уплате по местонахождению обособленных подразделений, использовать показатели удельного веса остаточной стоимости амортизируемого имущества и среднесписочной численности работников.</w:t>
      </w:r>
      <w:r w:rsidRPr="00360801">
        <w:br/>
        <w:t xml:space="preserve">Основание: пункт 2 статьи 288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360801">
        <w:rPr>
          <w:b/>
          <w:bCs/>
        </w:rPr>
        <w:t>Налог на добавленную стоимость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30. Обособленные подразделения нумеруют счета-фактуры в пределах диапазона номеров, выделяемых головной организацией.</w:t>
      </w:r>
      <w:r w:rsidR="005627B4" w:rsidRPr="00360801">
        <w:br/>
      </w:r>
      <w:r w:rsidRPr="00360801">
        <w:t>Основание: подпункт «а» пункта 1 приложения 1 к постановлению Правительства</w:t>
      </w:r>
      <w:r w:rsidR="008F0235" w:rsidRPr="00360801">
        <w:t xml:space="preserve"> от 26.12.</w:t>
      </w:r>
      <w:r w:rsidRPr="00360801">
        <w:t>2011</w:t>
      </w:r>
      <w:r w:rsidR="009F2D7D" w:rsidRPr="00360801">
        <w:t xml:space="preserve"> №</w:t>
      </w:r>
      <w:r w:rsidRPr="00360801">
        <w:t xml:space="preserve"> 1137. 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31. Учет освобожденных от НДС операций по реализации лотерейных билетов ведется на субсчетах бухгалтерского учета обособленно. Прямые затраты на осуществление данного вида деятельности учитываются на субсчете «Реализация лотерейных билетов» к счету 44 «Расходы на продажу». Косвенные затраты учитываются на субсчете «Расходы на продажу к распределению» к счету 44. Совокупные расходы на реализацию лотерейных билетов в целях расчета 5-процентного барьера расходов на необлагаемую деятельность определяются как сумма прямых и соответствующей доли косвенных затрат. </w:t>
      </w:r>
      <w:r w:rsidRPr="00360801">
        <w:br/>
        <w:t xml:space="preserve">Основание: подпункт 9 пункта 2 статьи 149, пункт 4 статьи 170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32. Доля косвенных затрат, относящаяся к необлагаемым операциям, определяется пропорционально выручке от необлагаемой деятельности в общей сумме выручки от всех видов деятельности. Распределение косвенных затрат и расчет совокупных расходов на освобожденную от НДС деятельность осуществляется в регистре налогового учета, форма которого установлена в приложении 7.</w:t>
      </w:r>
      <w:r w:rsidRPr="00360801">
        <w:br/>
        <w:t xml:space="preserve">Основание: пункты 4, 4.1 статьи 170 </w:t>
      </w:r>
      <w:r w:rsidR="009F2D7D" w:rsidRPr="00360801">
        <w:t>НК</w:t>
      </w:r>
      <w:r w:rsidRPr="00360801">
        <w:t xml:space="preserve">, письмо </w:t>
      </w:r>
      <w:r w:rsidR="009F2D7D" w:rsidRPr="00360801">
        <w:t>ФНС</w:t>
      </w:r>
      <w:r w:rsidR="008F0235" w:rsidRPr="00360801">
        <w:t xml:space="preserve"> от 22.03.</w:t>
      </w:r>
      <w:r w:rsidRPr="00360801">
        <w:t>2011</w:t>
      </w:r>
      <w:r w:rsidR="009F2D7D" w:rsidRPr="00360801">
        <w:t xml:space="preserve"> №</w:t>
      </w:r>
      <w:r w:rsidRPr="00360801">
        <w:t> КЕ-4-3/4475.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33. В целях ведения раздельного учета операций, облагаемых НДС, и операций, освобожденных от налогообложения, к счету 19 открываются субсчета:</w:t>
      </w:r>
      <w:r w:rsidRPr="00360801">
        <w:br/>
        <w:t>– 19-1 «Операции, облагаемые НДС»;</w:t>
      </w:r>
      <w:r w:rsidRPr="00360801">
        <w:br/>
        <w:t xml:space="preserve">– 19-2 «Операции, освобожденные от налогообложения»; </w:t>
      </w:r>
      <w:r w:rsidRPr="00360801">
        <w:br/>
        <w:t>– 19-3 «Операции, облагаемые НДС и освобожденные от налогообложения».</w:t>
      </w:r>
      <w:r w:rsidRPr="00360801">
        <w:br/>
        <w:t xml:space="preserve">Основание: пункт 4 статьи 149, пункты 4, 4.1 статьи 170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34. На субсчете 19-1 «Операции, облагаемые НДС» учитываются суммы налога, предъявленные поставщиками по товарам (работам, услугам), используемым в деятельности, облагаемой НДС. </w:t>
      </w:r>
      <w:r w:rsidRPr="00360801">
        <w:br/>
        <w:t xml:space="preserve">Суммы налога, учтенные на субсчете 19-1, принимаются к вычету в порядке, установленном статьей 172 </w:t>
      </w:r>
      <w:r w:rsidR="009F2D7D" w:rsidRPr="00360801">
        <w:t>НК</w:t>
      </w:r>
      <w:r w:rsidRPr="00360801">
        <w:t>, без ограничений.</w:t>
      </w:r>
      <w:r w:rsidRPr="00360801">
        <w:br/>
        <w:t xml:space="preserve">Основание: абзац 3 пункта 4 статьи 170, статья 172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35. Суммы налога на добавленную стоимость, предъявленные поставщиками при приобретении материалов (работ, услуг), относимых к прямым расходам на необлагаемую деятельность, учитываются на счете 19-2 «Операции, освобожденные от НДС».</w:t>
      </w:r>
      <w:r w:rsidRPr="00360801">
        <w:br/>
        <w:t xml:space="preserve">Основание: абзацы 2 и 7 пункта 4 статьи 170 </w:t>
      </w:r>
      <w:r w:rsidR="009F2D7D" w:rsidRPr="00360801">
        <w:t>НК</w:t>
      </w:r>
      <w:r w:rsidRPr="00360801">
        <w:t>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36. Суммы входного налога, предъявленные по косвенным расходам, учитываются на счете 19-3 «Операции, облагаемые НДС и освобожденные от налогообложения» и в течение квартала</w:t>
      </w:r>
      <w:r w:rsidR="009A52DF" w:rsidRPr="00360801">
        <w:t xml:space="preserve"> </w:t>
      </w:r>
      <w:r w:rsidRPr="00360801">
        <w:lastRenderedPageBreak/>
        <w:t xml:space="preserve">принимаются к вычету в порядке, установленном статьей 172 </w:t>
      </w:r>
      <w:r w:rsidR="009F2D7D" w:rsidRPr="00360801">
        <w:t>НК</w:t>
      </w:r>
      <w:r w:rsidRPr="00360801">
        <w:t>.</w:t>
      </w:r>
      <w:r w:rsidRPr="00360801">
        <w:br/>
        <w:t xml:space="preserve">Основание: пункт 4 статьи 149, абзац 4 пункта 4, пункт 4.1 статьи 170 </w:t>
      </w:r>
      <w:r w:rsidR="009F2D7D" w:rsidRPr="00360801">
        <w:t>НК</w:t>
      </w:r>
      <w:r w:rsidRPr="00360801">
        <w:t xml:space="preserve">. 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 xml:space="preserve">37. Корректировка суммы вычетов, примененных с субсчета 19-3 «Операции, облагаемые НДС и освобожденные от налогообложения», осуществляется пропорционально выручке от необлагаемой деятельности в общей выручке организации за квартал. Указанная корректировка производится по каждому счету-фактуре по состоянию на последний день налогового периода (квартала). Суммы налога, подлежащие по итогам квартала восстановлению на субсчете 19-3, в стоимость товаров (работ, услуг), в том числе основных средств, не включаются и учитываются в составе прочих расходов в соответствии со статьей 264 </w:t>
      </w:r>
      <w:r w:rsidR="009F2D7D" w:rsidRPr="00360801">
        <w:t>НК</w:t>
      </w:r>
      <w:r w:rsidRPr="00360801">
        <w:t>.</w:t>
      </w:r>
      <w:r w:rsidRPr="00360801">
        <w:br/>
        <w:t>Основание: подпункт 2 пункта 3 статьи 170, пункты 4, 4.1 статьи 170 Н</w:t>
      </w:r>
      <w:r w:rsidR="008F0235" w:rsidRPr="00360801">
        <w:t>К</w:t>
      </w:r>
      <w:r w:rsidRPr="00360801">
        <w:t xml:space="preserve">. </w:t>
      </w:r>
    </w:p>
    <w:p w:rsidR="002E18C5" w:rsidRPr="00360801" w:rsidRDefault="002E18C5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E18C5" w:rsidRPr="00360801" w:rsidRDefault="002E18C5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38. По долгосрочным договорам, которые предусматривают ежедневные поставки в адрес одного и того же покупателя, организация оформляет сводные счета-фактуры и выставляет их один раз в месяц до 5-го числа следующего месяца.</w:t>
      </w:r>
    </w:p>
    <w:p w:rsidR="002E18C5" w:rsidRPr="00360801" w:rsidRDefault="002E18C5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Основание: письмо Минфина от 13.09.2018 № 03-07-11/65642.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p w:rsidR="008A05C1" w:rsidRPr="00360801" w:rsidRDefault="00E539A1" w:rsidP="00F562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60801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1796"/>
        <w:gridCol w:w="3701"/>
      </w:tblGrid>
      <w:tr w:rsidR="008A05C1" w:rsidRPr="00360801" w:rsidTr="009A52DF">
        <w:tc>
          <w:tcPr>
            <w:tcW w:w="209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5C1" w:rsidRPr="00360801" w:rsidRDefault="00E539A1" w:rsidP="00F56295">
            <w:pPr>
              <w:rPr>
                <w:sz w:val="22"/>
                <w:szCs w:val="22"/>
              </w:rPr>
            </w:pPr>
            <w:r w:rsidRPr="0036080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948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5C1" w:rsidRPr="00360801" w:rsidRDefault="00E539A1" w:rsidP="00F56295">
            <w:pPr>
              <w:rPr>
                <w:sz w:val="22"/>
                <w:szCs w:val="22"/>
              </w:rPr>
            </w:pPr>
            <w:r w:rsidRPr="00360801">
              <w:rPr>
                <w:sz w:val="22"/>
                <w:szCs w:val="22"/>
              </w:rPr>
              <w:t> </w:t>
            </w:r>
          </w:p>
        </w:tc>
        <w:tc>
          <w:tcPr>
            <w:tcW w:w="195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05C1" w:rsidRPr="00360801" w:rsidRDefault="00E539A1" w:rsidP="00360801">
            <w:pPr>
              <w:jc w:val="right"/>
              <w:rPr>
                <w:sz w:val="22"/>
                <w:szCs w:val="22"/>
              </w:rPr>
            </w:pPr>
            <w:r w:rsidRPr="00360801">
              <w:rPr>
                <w:sz w:val="22"/>
                <w:szCs w:val="22"/>
              </w:rPr>
              <w:t>А.С. Глебова</w:t>
            </w:r>
          </w:p>
        </w:tc>
      </w:tr>
    </w:tbl>
    <w:p w:rsidR="008A05C1" w:rsidRPr="00360801" w:rsidRDefault="008A05C1" w:rsidP="00360801">
      <w:pPr>
        <w:pStyle w:val="a5"/>
        <w:spacing w:before="0" w:beforeAutospacing="0" w:after="0" w:afterAutospacing="0"/>
      </w:pPr>
    </w:p>
    <w:sectPr w:rsidR="008A05C1" w:rsidRPr="00360801" w:rsidSect="0036080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9B" w:rsidRDefault="00394A9B" w:rsidP="00DB43E3">
      <w:r>
        <w:separator/>
      </w:r>
    </w:p>
  </w:endnote>
  <w:endnote w:type="continuationSeparator" w:id="0">
    <w:p w:rsidR="00394A9B" w:rsidRDefault="00394A9B" w:rsidP="00DB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9B" w:rsidRDefault="00394A9B" w:rsidP="00DB43E3">
      <w:r>
        <w:separator/>
      </w:r>
    </w:p>
  </w:footnote>
  <w:footnote w:type="continuationSeparator" w:id="0">
    <w:p w:rsidR="00394A9B" w:rsidRDefault="00394A9B" w:rsidP="00DB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49"/>
      <w:gridCol w:w="1665"/>
      <w:gridCol w:w="940"/>
    </w:tblGrid>
    <w:tr w:rsidR="009B048B" w:rsidTr="009C1B7F">
      <w:trPr>
        <w:trHeight w:val="357"/>
      </w:trPr>
      <w:tc>
        <w:tcPr>
          <w:tcW w:w="6912" w:type="dxa"/>
          <w:vMerge w:val="restart"/>
        </w:tcPr>
        <w:p w:rsidR="009B048B" w:rsidRDefault="009B048B" w:rsidP="009B048B">
          <w:pPr>
            <w:pStyle w:val="ae"/>
            <w:rPr>
              <w:sz w:val="16"/>
              <w:szCs w:val="16"/>
            </w:rPr>
          </w:pPr>
        </w:p>
      </w:tc>
      <w:tc>
        <w:tcPr>
          <w:tcW w:w="2659" w:type="dxa"/>
          <w:gridSpan w:val="2"/>
          <w:vAlign w:val="bottom"/>
        </w:tcPr>
        <w:p w:rsidR="009B048B" w:rsidRDefault="009B048B" w:rsidP="009B048B">
          <w:pPr>
            <w:pStyle w:val="ae"/>
            <w:rPr>
              <w:b/>
              <w:sz w:val="16"/>
              <w:szCs w:val="16"/>
            </w:rPr>
          </w:pPr>
        </w:p>
      </w:tc>
    </w:tr>
    <w:tr w:rsidR="009B048B" w:rsidTr="009C1B7F">
      <w:trPr>
        <w:trHeight w:val="357"/>
      </w:trPr>
      <w:tc>
        <w:tcPr>
          <w:tcW w:w="0" w:type="auto"/>
          <w:vMerge/>
          <w:vAlign w:val="center"/>
        </w:tcPr>
        <w:p w:rsidR="009B048B" w:rsidRDefault="009B048B" w:rsidP="009B048B">
          <w:pPr>
            <w:rPr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:rsidR="009B048B" w:rsidRDefault="009B048B" w:rsidP="009B048B">
          <w:pPr>
            <w:pStyle w:val="ae"/>
            <w:rPr>
              <w:b/>
              <w:sz w:val="16"/>
              <w:szCs w:val="16"/>
            </w:rPr>
          </w:pPr>
        </w:p>
      </w:tc>
      <w:tc>
        <w:tcPr>
          <w:tcW w:w="958" w:type="dxa"/>
          <w:vAlign w:val="bottom"/>
        </w:tcPr>
        <w:p w:rsidR="009B048B" w:rsidRDefault="009B048B" w:rsidP="009B048B">
          <w:pPr>
            <w:pStyle w:val="ae"/>
            <w:rPr>
              <w:sz w:val="16"/>
              <w:szCs w:val="16"/>
            </w:rPr>
          </w:pPr>
        </w:p>
      </w:tc>
    </w:tr>
  </w:tbl>
  <w:p w:rsidR="00DB43E3" w:rsidRDefault="00DB43E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6"/>
    <w:rsid w:val="00184A4B"/>
    <w:rsid w:val="00185E34"/>
    <w:rsid w:val="001E69B9"/>
    <w:rsid w:val="001F49DA"/>
    <w:rsid w:val="002E18C5"/>
    <w:rsid w:val="002F59B7"/>
    <w:rsid w:val="003075E5"/>
    <w:rsid w:val="00360801"/>
    <w:rsid w:val="00394A9B"/>
    <w:rsid w:val="005627B4"/>
    <w:rsid w:val="005A3C76"/>
    <w:rsid w:val="006822B6"/>
    <w:rsid w:val="00695A3D"/>
    <w:rsid w:val="00705C8A"/>
    <w:rsid w:val="00797936"/>
    <w:rsid w:val="007A42F6"/>
    <w:rsid w:val="007C6333"/>
    <w:rsid w:val="00855975"/>
    <w:rsid w:val="008A05C1"/>
    <w:rsid w:val="008F0235"/>
    <w:rsid w:val="009A52DF"/>
    <w:rsid w:val="009B048B"/>
    <w:rsid w:val="009C1B7F"/>
    <w:rsid w:val="009F2D7D"/>
    <w:rsid w:val="00A1788D"/>
    <w:rsid w:val="00A32984"/>
    <w:rsid w:val="00A82E80"/>
    <w:rsid w:val="00A94663"/>
    <w:rsid w:val="00AB6ADB"/>
    <w:rsid w:val="00B5194D"/>
    <w:rsid w:val="00C15082"/>
    <w:rsid w:val="00C44CBB"/>
    <w:rsid w:val="00DB43E3"/>
    <w:rsid w:val="00DC1D8E"/>
    <w:rsid w:val="00DD7B01"/>
    <w:rsid w:val="00DE5250"/>
    <w:rsid w:val="00E0600D"/>
    <w:rsid w:val="00E539A1"/>
    <w:rsid w:val="00F56295"/>
    <w:rsid w:val="00FA257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0A38-D2BA-48DB-9F92-B09F504E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A05C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9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05C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05C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05C1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A05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05C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0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8A05C1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8A05C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A05C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A05C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A05C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A05C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A05C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A05C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A05C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A05C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A05C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8A05C1"/>
    <w:rPr>
      <w:color w:val="FF9900"/>
    </w:rPr>
  </w:style>
  <w:style w:type="character" w:customStyle="1" w:styleId="fill">
    <w:name w:val="fill"/>
    <w:rsid w:val="008A05C1"/>
    <w:rPr>
      <w:b/>
      <w:bCs/>
      <w:i/>
      <w:iCs/>
      <w:color w:val="FF0000"/>
    </w:rPr>
  </w:style>
  <w:style w:type="character" w:customStyle="1" w:styleId="maggd">
    <w:name w:val="maggd"/>
    <w:rsid w:val="008A05C1"/>
    <w:rPr>
      <w:color w:val="006400"/>
    </w:rPr>
  </w:style>
  <w:style w:type="character" w:customStyle="1" w:styleId="magusn">
    <w:name w:val="magusn"/>
    <w:rsid w:val="008A05C1"/>
    <w:rPr>
      <w:color w:val="006666"/>
    </w:rPr>
  </w:style>
  <w:style w:type="character" w:customStyle="1" w:styleId="enp">
    <w:name w:val="enp"/>
    <w:rsid w:val="008A05C1"/>
    <w:rPr>
      <w:color w:val="3C7828"/>
    </w:rPr>
  </w:style>
  <w:style w:type="character" w:customStyle="1" w:styleId="kdkss">
    <w:name w:val="kdkss"/>
    <w:rsid w:val="008A05C1"/>
    <w:rPr>
      <w:color w:val="BE780A"/>
    </w:rPr>
  </w:style>
  <w:style w:type="character" w:customStyle="1" w:styleId="actel">
    <w:name w:val="actel"/>
    <w:rsid w:val="008A05C1"/>
    <w:rPr>
      <w:color w:val="E36C0A"/>
    </w:rPr>
  </w:style>
  <w:style w:type="character" w:styleId="a6">
    <w:name w:val="annotation reference"/>
    <w:uiPriority w:val="99"/>
    <w:semiHidden/>
    <w:unhideWhenUsed/>
    <w:rsid w:val="007979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793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97936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793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97936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79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9793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979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Revision"/>
    <w:hidden/>
    <w:uiPriority w:val="99"/>
    <w:semiHidden/>
    <w:rsid w:val="005627B4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B43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B43E3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B43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B4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9840</Characters>
  <Application>Microsoft Office Word</Application>
  <DocSecurity>0</DocSecurity>
  <PresentationFormat>ipryx_</PresentationFormat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организации для целей налогообложения. Торговля. ОСНО</vt:lpstr>
    </vt:vector>
  </TitlesOfParts>
  <Company>HNEU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организации для целей налогообложения. Торговля. ОСНО</dc:title>
  <dc:subject/>
  <dc:creator>Lyudmila A. Maslennikova</dc:creator>
  <cp:keywords/>
  <dc:description>Подготовлено на базе материалов БСС «Система Главбух»</dc:description>
  <cp:lastModifiedBy>Павел Угрюмов</cp:lastModifiedBy>
  <cp:revision>2</cp:revision>
  <dcterms:created xsi:type="dcterms:W3CDTF">2021-09-29T15:31:00Z</dcterms:created>
  <dcterms:modified xsi:type="dcterms:W3CDTF">2021-09-29T15:31:00Z</dcterms:modified>
</cp:coreProperties>
</file>